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90" w:rsidRPr="009B5C90" w:rsidRDefault="009B5C90" w:rsidP="009B5C90">
      <w:pPr>
        <w:spacing w:after="0" w:line="288" w:lineRule="auto"/>
        <w:jc w:val="center"/>
        <w:outlineLvl w:val="0"/>
        <w:rPr>
          <w:rFonts w:eastAsia="Times New Roman" w:cs="Times New Roman"/>
          <w:b/>
          <w:bCs/>
          <w:kern w:val="36"/>
          <w:szCs w:val="28"/>
          <w:u w:val="single"/>
        </w:rPr>
      </w:pPr>
      <w:bookmarkStart w:id="0" w:name="_GoBack"/>
      <w:r w:rsidRPr="009B5C90">
        <w:rPr>
          <w:rFonts w:eastAsia="Times New Roman" w:cs="Times New Roman"/>
          <w:b/>
          <w:bCs/>
          <w:kern w:val="36"/>
          <w:szCs w:val="28"/>
          <w:u w:val="single"/>
        </w:rPr>
        <w:t>Chính sách mới có hiệu lực hôm nay (15/10/2024)</w:t>
      </w:r>
    </w:p>
    <w:p w:rsidR="009B5C90" w:rsidRPr="009B5C90" w:rsidRDefault="009B5C90" w:rsidP="009B5C90">
      <w:pPr>
        <w:spacing w:after="0" w:line="288" w:lineRule="auto"/>
        <w:jc w:val="center"/>
        <w:outlineLvl w:val="0"/>
        <w:rPr>
          <w:rFonts w:eastAsia="Times New Roman" w:cs="Times New Roman"/>
          <w:b/>
          <w:bCs/>
          <w:kern w:val="36"/>
          <w:szCs w:val="28"/>
        </w:rPr>
      </w:pP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1. 4 trường hợp bị cấm hành nghề công tác xã hội từ 15/10/2024</w:t>
      </w:r>
    </w:p>
    <w:p w:rsidR="009B5C90" w:rsidRPr="009B5C90" w:rsidRDefault="009B5C90" w:rsidP="009B5C90">
      <w:pPr>
        <w:spacing w:after="0" w:line="288" w:lineRule="auto"/>
        <w:ind w:firstLine="720"/>
        <w:jc w:val="both"/>
        <w:rPr>
          <w:rFonts w:eastAsia="Times New Roman" w:cs="Times New Roman"/>
          <w:color w:val="222222"/>
          <w:szCs w:val="28"/>
        </w:rPr>
      </w:pPr>
      <w:r w:rsidRPr="009B5C90">
        <w:rPr>
          <w:rFonts w:eastAsia="Times New Roman" w:cs="Times New Roman"/>
          <w:color w:val="222222"/>
          <w:szCs w:val="28"/>
        </w:rPr>
        <w:t>Được nêu tại </w:t>
      </w:r>
      <w:hyperlink r:id="rId6" w:history="1">
        <w:r w:rsidRPr="009B5C90">
          <w:rPr>
            <w:rFonts w:eastAsia="Times New Roman" w:cs="Times New Roman"/>
            <w:color w:val="A67942"/>
            <w:szCs w:val="28"/>
            <w:u w:val="single"/>
          </w:rPr>
          <w:t>Nghị định 110/2024/NĐ-CP</w:t>
        </w:r>
      </w:hyperlink>
      <w:r w:rsidRPr="009B5C90">
        <w:rPr>
          <w:rFonts w:eastAsia="Times New Roman" w:cs="Times New Roman"/>
          <w:color w:val="222222"/>
          <w:szCs w:val="28"/>
        </w:rPr>
        <w:t> của Chính phủ về công tác xã hội. Cụ thể tại Điều 32 Nghị định 110/2024/NĐ-CP quy định, </w:t>
      </w:r>
      <w:r w:rsidRPr="009B5C90">
        <w:rPr>
          <w:rFonts w:eastAsia="Times New Roman" w:cs="Times New Roman"/>
          <w:b/>
          <w:bCs/>
          <w:color w:val="222222"/>
          <w:szCs w:val="28"/>
        </w:rPr>
        <w:t>04 trường hợp bị cấm hành nghề công tác xã hội</w:t>
      </w:r>
      <w:r w:rsidRPr="009B5C90">
        <w:rPr>
          <w:rFonts w:eastAsia="Times New Roman" w:cs="Times New Roman"/>
          <w:color w:val="222222"/>
          <w:szCs w:val="28"/>
        </w:rPr>
        <w:t> như sau:</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(1) </w:t>
      </w:r>
      <w:r w:rsidRPr="009B5C90">
        <w:rPr>
          <w:rFonts w:eastAsia="Times New Roman" w:cs="Times New Roman"/>
          <w:color w:val="222222"/>
          <w:szCs w:val="28"/>
        </w:rPr>
        <w:t>Người bị kết án mà chưa được xóa án tích.</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(2)</w:t>
      </w:r>
      <w:r w:rsidRPr="009B5C90">
        <w:rPr>
          <w:rFonts w:eastAsia="Times New Roman" w:cs="Times New Roman"/>
          <w:color w:val="222222"/>
          <w:szCs w:val="28"/>
        </w:rPr>
        <w:t> Người bị áp dụng biện pháp xử lý hành chính đưa vào cơ sở giáo dục bắt buộc, cơ sở cai nghiện bắt buộc, trường giáo dưỡng hoặc giáo dục tại xã, phường, thị trấn.</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(3)</w:t>
      </w:r>
      <w:r w:rsidRPr="009B5C90">
        <w:rPr>
          <w:rFonts w:eastAsia="Times New Roman" w:cs="Times New Roman"/>
          <w:color w:val="222222"/>
          <w:szCs w:val="28"/>
        </w:rPr>
        <w:t> Người đang trong thời gian bị truy cứu trách nhiệm hình sự.</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(4)</w:t>
      </w:r>
      <w:r w:rsidRPr="009B5C90">
        <w:rPr>
          <w:rFonts w:eastAsia="Times New Roman" w:cs="Times New Roman"/>
          <w:color w:val="222222"/>
          <w:szCs w:val="28"/>
        </w:rPr>
        <w:t> Người mất năng lực hành vi dân sự hoặc có khó khăn trong nhận thức, làm chủ hành vi hoặc hạn chế năng lực hành vi dân sự và trường hợp khác theo quy định của pháp luật.</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Nghị định 110/2024/NĐ-CP cũng đã quy định điều kiện hành nghề công tác xã hội, các hành vi bị nghiêm cấm trong công tác xã hội. Và từ 01/01/2027, người hành nghề công tác xã hội bắt buộc phải có Giấy chứng nhận hành nghề.</w:t>
      </w: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2. Áp dụng quy định mới về đánh số nhà</w:t>
      </w:r>
    </w:p>
    <w:p w:rsidR="009B5C90" w:rsidRPr="009B5C90" w:rsidRDefault="009B5C90" w:rsidP="009B5C90">
      <w:pPr>
        <w:spacing w:after="0" w:line="288" w:lineRule="auto"/>
        <w:ind w:firstLine="720"/>
        <w:jc w:val="both"/>
        <w:rPr>
          <w:rFonts w:eastAsia="Times New Roman" w:cs="Times New Roman"/>
          <w:color w:val="222222"/>
          <w:szCs w:val="28"/>
        </w:rPr>
      </w:pPr>
      <w:hyperlink r:id="rId7" w:history="1">
        <w:r w:rsidRPr="009B5C90">
          <w:rPr>
            <w:rFonts w:eastAsia="Times New Roman" w:cs="Times New Roman"/>
            <w:color w:val="A67942"/>
            <w:szCs w:val="28"/>
            <w:u w:val="single"/>
          </w:rPr>
          <w:t>Thông tư 08/2024/TT-BXD</w:t>
        </w:r>
      </w:hyperlink>
      <w:r w:rsidRPr="009B5C90">
        <w:rPr>
          <w:rFonts w:eastAsia="Times New Roman" w:cs="Times New Roman"/>
          <w:color w:val="222222"/>
          <w:szCs w:val="28"/>
        </w:rPr>
        <w:t> của Bộ Xây dựng quy định đánh số và gắn biển số nhà, công trình xây dựng cũng có hiệu lực từ hôm nay, 15/10. Trong đó, Điều 6 Thông tư 08/2024/TT-BXD </w:t>
      </w:r>
      <w:r w:rsidRPr="009B5C90">
        <w:rPr>
          <w:rFonts w:eastAsia="Times New Roman" w:cs="Times New Roman"/>
          <w:b/>
          <w:bCs/>
          <w:color w:val="222222"/>
          <w:szCs w:val="28"/>
        </w:rPr>
        <w:t>quy định về việc đánh số nhà mặt đường, phố</w:t>
      </w:r>
      <w:r w:rsidRPr="009B5C90">
        <w:rPr>
          <w:rFonts w:eastAsia="Times New Roman" w:cs="Times New Roman"/>
          <w:color w:val="222222"/>
          <w:szCs w:val="28"/>
        </w:rPr>
        <w:t> như sau:</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 Đánh số nhà mặt đường, phố được sử dụng dãy số tự nhiên (1, 2, 3..., n) với thứ tự từ số nhỏ đến số lớn theo chiều quy định tại khoản 2 Điều này. Nhà bên trái lấy số lẻ (1, 3, 5, 7...), nhà bên phải lấy số chẵn (2, 4, 6, 8...).</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Trường hợp một nhà có cửa mở ra hai đường, phố khác nhau thì nhà đó được đánh số theo đường, phố có mặt cắt ngang lớn hơn; nếu các đường, phố có mặt cắt ngang tương đương thì đánh số nhà theo đường, phố có cửa chính vào nhà hoặc đánh số theo đường, phố đã được đánh số liên tục.</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Chiều đánh số nhà mặt đường, phố thực hiện theo quy định:</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Chiều đánh số nhà được thực hiện theo hướng từ Bắc xuống Nam, từ Đông sang Tây, từ Đông Bắc sang Tây Nam, từ Đông Nam sang Tây Bắc;</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lastRenderedPageBreak/>
        <w:t>Trường hợp đường, phố đặc thù không thực hiện theo quy định trên thì chiều đánh số nhà do Ủy ban nhân dân cấp huyện quyết định (ví dụ: đường, phố dạng hướng tâm thì chiều đánh số nhà được thực hiện từ trung tâm thành phố, tỉnh, quận, huyện, thị xã, thị trấn hướng ra phía ngoài trung tâm);</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Các đường, phố đã được đánh số nhà trước ngày 15/10/2024 thì giữ nguyên chiều đánh số nhà.</w:t>
      </w: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3. Định mức người làm việc trong đơn vị sự nghiệp công lập trợ giúp xã hội</w:t>
      </w:r>
    </w:p>
    <w:p w:rsidR="009B5C90" w:rsidRPr="009B5C90" w:rsidRDefault="009B5C90" w:rsidP="009B5C90">
      <w:pPr>
        <w:spacing w:after="0" w:line="288" w:lineRule="auto"/>
        <w:ind w:firstLine="720"/>
        <w:jc w:val="both"/>
        <w:rPr>
          <w:rFonts w:eastAsia="Times New Roman" w:cs="Times New Roman"/>
          <w:color w:val="222222"/>
          <w:szCs w:val="28"/>
        </w:rPr>
      </w:pPr>
      <w:r w:rsidRPr="009B5C90">
        <w:rPr>
          <w:rFonts w:eastAsia="Times New Roman" w:cs="Times New Roman"/>
          <w:color w:val="222222"/>
          <w:szCs w:val="28"/>
        </w:rPr>
        <w:t>Tại Điều </w:t>
      </w:r>
      <w:hyperlink r:id="rId8" w:history="1">
        <w:r w:rsidRPr="009B5C90">
          <w:rPr>
            <w:rFonts w:eastAsia="Times New Roman" w:cs="Times New Roman"/>
            <w:color w:val="A67942"/>
            <w:szCs w:val="28"/>
            <w:u w:val="single"/>
          </w:rPr>
          <w:t>6 Thông tư 09/2024/TT-BLĐTBXH</w:t>
        </w:r>
      </w:hyperlink>
      <w:r w:rsidRPr="009B5C90">
        <w:rPr>
          <w:rFonts w:eastAsia="Times New Roman" w:cs="Times New Roman"/>
          <w:color w:val="222222"/>
          <w:szCs w:val="28"/>
        </w:rPr>
        <w:t> có quy định, đơn vị sự nghiệp công lập cung cấp dịch vụ trợ giúp xã hội và bảo vệ chăm sóc trẻ em; dịch vụ xã hội trong cơ sở bảo trợ xã hội công lập, căn cứ đặc điểm đối tượng, quy mô và số lượng đối tượng, định mức số lượng người làm việc chức danh nghề nghiệp chuyên ngành trong đơn vị được quy định như sau:</w:t>
      </w:r>
    </w:p>
    <w:p w:rsidR="009B5C90" w:rsidRPr="009B5C90" w:rsidRDefault="009B5C90" w:rsidP="009B5C90">
      <w:pPr>
        <w:numPr>
          <w:ilvl w:val="0"/>
          <w:numId w:val="2"/>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công tác xã hội viên chính quản lý trường hợp 30 đối tượng;</w:t>
      </w:r>
    </w:p>
    <w:p w:rsidR="009B5C90" w:rsidRPr="009B5C90" w:rsidRDefault="009B5C90" w:rsidP="009B5C90">
      <w:pPr>
        <w:numPr>
          <w:ilvl w:val="0"/>
          <w:numId w:val="2"/>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công tác xã hội viên quản lý trường hợp 25 đối tượng;</w:t>
      </w:r>
    </w:p>
    <w:p w:rsidR="009B5C90" w:rsidRPr="009B5C90" w:rsidRDefault="009B5C90" w:rsidP="009B5C90">
      <w:pPr>
        <w:numPr>
          <w:ilvl w:val="0"/>
          <w:numId w:val="2"/>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công tác xã hội quản lý trường hợp 20 đối tượng.</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Mỗi cơ sở có ít nhất:</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tâm lý;</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y tế phụ trách việc chăm sóc sức khỏe cho tối đa 50 đối tượng;</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phụ trách dinh dưỡng phục vụ tối đa 20 đối tượng;</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hướng dẫn phục hồi chức năng cho tối đa 5 đối tượng;</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Về giáo viên dạy văn hóa, dạy nghề 1 giáo viên phụ trách tối đa cho 9 đối tượng.</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Về vị trí việc làm chuyên môn dùng chung và hỗ trợ phục vụ tối đa không quá 20% tổng số lượng người làm việc được cấp có thẩm quyền giao.</w:t>
      </w: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4. Phương thức cho thuê nhà đất là tài sản công không sử dụng để ở</w:t>
      </w:r>
    </w:p>
    <w:p w:rsidR="009B5C90" w:rsidRPr="009B5C90" w:rsidRDefault="009B5C90" w:rsidP="009B5C90">
      <w:pPr>
        <w:spacing w:after="0" w:line="288" w:lineRule="auto"/>
        <w:ind w:firstLine="720"/>
        <w:jc w:val="both"/>
        <w:rPr>
          <w:rFonts w:eastAsia="Times New Roman" w:cs="Times New Roman"/>
          <w:color w:val="222222"/>
          <w:szCs w:val="28"/>
        </w:rPr>
      </w:pPr>
      <w:r w:rsidRPr="009B5C90">
        <w:rPr>
          <w:rFonts w:eastAsia="Times New Roman" w:cs="Times New Roman"/>
          <w:color w:val="222222"/>
          <w:szCs w:val="28"/>
        </w:rPr>
        <w:t>Điều 10 </w:t>
      </w:r>
      <w:hyperlink r:id="rId9" w:history="1">
        <w:r w:rsidRPr="009B5C90">
          <w:rPr>
            <w:rFonts w:eastAsia="Times New Roman" w:cs="Times New Roman"/>
            <w:color w:val="A67942"/>
            <w:szCs w:val="28"/>
            <w:u w:val="single"/>
          </w:rPr>
          <w:t>Nghị định 108/2024/NĐ-CP</w:t>
        </w:r>
      </w:hyperlink>
      <w:r w:rsidRPr="009B5C90">
        <w:rPr>
          <w:rFonts w:eastAsia="Times New Roman" w:cs="Times New Roman"/>
          <w:color w:val="222222"/>
          <w:szCs w:val="28"/>
        </w:rPr>
        <w:t> quy định về </w:t>
      </w:r>
      <w:r w:rsidRPr="009B5C90">
        <w:rPr>
          <w:rFonts w:eastAsia="Times New Roman" w:cs="Times New Roman"/>
          <w:b/>
          <w:bCs/>
          <w:color w:val="222222"/>
          <w:szCs w:val="28"/>
        </w:rPr>
        <w:t>phương thức cho thuê nhà</w:t>
      </w:r>
      <w:r w:rsidRPr="009B5C90">
        <w:rPr>
          <w:rFonts w:eastAsia="Times New Roman" w:cs="Times New Roman"/>
          <w:color w:val="222222"/>
          <w:szCs w:val="28"/>
        </w:rPr>
        <w:t> (gắn với quyền sử dụng đất) của tổ chức quản lý, kinh doanh nhà được thực hiện theo phương thức đấu giá, trừ các trường hợp thực hiện theo phương thức niêm yết giá quy định dưới đây:</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(1) Cho các đối tượng ưu tiên thuê nhà gồm:</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Tổ chức hội có tính chất đặc thù theo quy định của pháp luật về hội thuê để làm trụ sở làm việc trong trường hợp chưa có trụ sở làm việc;</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lastRenderedPageBreak/>
        <w:t>Cơ sở thực hiện xã hội hóa trong lĩnh vực giáo dục - đào tạo, dạy nghề, y tế, văn hóa, thể thao, môi trường thuộc danh mục chi tiết các loại hình và đáp ứng tiêu chí quy mô, tiêu chuẩn do Thủ tướng Chính phủ quyết định.</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(2) Cho thuê nhà có số tiền thuê nhà xác định tại thời điểm xác định giá để cho thuê dưới 50 triệu đồng/năm.</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(3) Cho thuê nhà đối với nhà, đất trong thời gian chờ thực hiện xử lý theo quy định của pháp luật.</w:t>
      </w:r>
    </w:p>
    <w:bookmarkEnd w:id="0"/>
    <w:p w:rsidR="00E95A19" w:rsidRPr="009B5C90" w:rsidRDefault="00E95A19" w:rsidP="009B5C90">
      <w:pPr>
        <w:spacing w:after="0" w:line="288" w:lineRule="auto"/>
        <w:jc w:val="both"/>
        <w:rPr>
          <w:szCs w:val="28"/>
        </w:rPr>
      </w:pPr>
    </w:p>
    <w:sectPr w:rsidR="00E95A19" w:rsidRPr="009B5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8F0"/>
    <w:multiLevelType w:val="multilevel"/>
    <w:tmpl w:val="29C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3580F"/>
    <w:multiLevelType w:val="multilevel"/>
    <w:tmpl w:val="F24A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F0D76"/>
    <w:multiLevelType w:val="multilevel"/>
    <w:tmpl w:val="0F00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90"/>
    <w:rsid w:val="009B5C90"/>
    <w:rsid w:val="00E9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C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B5C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9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B5C90"/>
    <w:rPr>
      <w:rFonts w:eastAsia="Times New Roman" w:cs="Times New Roman"/>
      <w:b/>
      <w:bCs/>
      <w:sz w:val="36"/>
      <w:szCs w:val="36"/>
    </w:rPr>
  </w:style>
  <w:style w:type="character" w:styleId="Hyperlink">
    <w:name w:val="Hyperlink"/>
    <w:basedOn w:val="DefaultParagraphFont"/>
    <w:uiPriority w:val="99"/>
    <w:semiHidden/>
    <w:unhideWhenUsed/>
    <w:rsid w:val="009B5C90"/>
    <w:rPr>
      <w:color w:val="0000FF"/>
      <w:u w:val="single"/>
    </w:rPr>
  </w:style>
  <w:style w:type="character" w:styleId="Strong">
    <w:name w:val="Strong"/>
    <w:basedOn w:val="DefaultParagraphFont"/>
    <w:uiPriority w:val="22"/>
    <w:qFormat/>
    <w:rsid w:val="009B5C90"/>
    <w:rPr>
      <w:b/>
      <w:bCs/>
    </w:rPr>
  </w:style>
  <w:style w:type="character" w:customStyle="1" w:styleId="toc-title">
    <w:name w:val="toc-title"/>
    <w:basedOn w:val="DefaultParagraphFont"/>
    <w:rsid w:val="009B5C90"/>
  </w:style>
  <w:style w:type="character" w:customStyle="1" w:styleId="toc-show">
    <w:name w:val="toc-show"/>
    <w:basedOn w:val="DefaultParagraphFont"/>
    <w:rsid w:val="009B5C90"/>
  </w:style>
  <w:style w:type="character" w:customStyle="1" w:styleId="toctext">
    <w:name w:val="toctext"/>
    <w:basedOn w:val="DefaultParagraphFont"/>
    <w:rsid w:val="009B5C90"/>
  </w:style>
  <w:style w:type="character" w:styleId="Emphasis">
    <w:name w:val="Emphasis"/>
    <w:basedOn w:val="DefaultParagraphFont"/>
    <w:uiPriority w:val="20"/>
    <w:qFormat/>
    <w:rsid w:val="009B5C90"/>
    <w:rPr>
      <w:i/>
      <w:iCs/>
    </w:rPr>
  </w:style>
  <w:style w:type="paragraph" w:styleId="NormalWeb">
    <w:name w:val="Normal (Web)"/>
    <w:basedOn w:val="Normal"/>
    <w:uiPriority w:val="99"/>
    <w:semiHidden/>
    <w:unhideWhenUsed/>
    <w:rsid w:val="009B5C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B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C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B5C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9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B5C90"/>
    <w:rPr>
      <w:rFonts w:eastAsia="Times New Roman" w:cs="Times New Roman"/>
      <w:b/>
      <w:bCs/>
      <w:sz w:val="36"/>
      <w:szCs w:val="36"/>
    </w:rPr>
  </w:style>
  <w:style w:type="character" w:styleId="Hyperlink">
    <w:name w:val="Hyperlink"/>
    <w:basedOn w:val="DefaultParagraphFont"/>
    <w:uiPriority w:val="99"/>
    <w:semiHidden/>
    <w:unhideWhenUsed/>
    <w:rsid w:val="009B5C90"/>
    <w:rPr>
      <w:color w:val="0000FF"/>
      <w:u w:val="single"/>
    </w:rPr>
  </w:style>
  <w:style w:type="character" w:styleId="Strong">
    <w:name w:val="Strong"/>
    <w:basedOn w:val="DefaultParagraphFont"/>
    <w:uiPriority w:val="22"/>
    <w:qFormat/>
    <w:rsid w:val="009B5C90"/>
    <w:rPr>
      <w:b/>
      <w:bCs/>
    </w:rPr>
  </w:style>
  <w:style w:type="character" w:customStyle="1" w:styleId="toc-title">
    <w:name w:val="toc-title"/>
    <w:basedOn w:val="DefaultParagraphFont"/>
    <w:rsid w:val="009B5C90"/>
  </w:style>
  <w:style w:type="character" w:customStyle="1" w:styleId="toc-show">
    <w:name w:val="toc-show"/>
    <w:basedOn w:val="DefaultParagraphFont"/>
    <w:rsid w:val="009B5C90"/>
  </w:style>
  <w:style w:type="character" w:customStyle="1" w:styleId="toctext">
    <w:name w:val="toctext"/>
    <w:basedOn w:val="DefaultParagraphFont"/>
    <w:rsid w:val="009B5C90"/>
  </w:style>
  <w:style w:type="character" w:styleId="Emphasis">
    <w:name w:val="Emphasis"/>
    <w:basedOn w:val="DefaultParagraphFont"/>
    <w:uiPriority w:val="20"/>
    <w:qFormat/>
    <w:rsid w:val="009B5C90"/>
    <w:rPr>
      <w:i/>
      <w:iCs/>
    </w:rPr>
  </w:style>
  <w:style w:type="paragraph" w:styleId="NormalWeb">
    <w:name w:val="Normal (Web)"/>
    <w:basedOn w:val="Normal"/>
    <w:uiPriority w:val="99"/>
    <w:semiHidden/>
    <w:unhideWhenUsed/>
    <w:rsid w:val="009B5C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B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6216">
      <w:bodyDiv w:val="1"/>
      <w:marLeft w:val="0"/>
      <w:marRight w:val="0"/>
      <w:marTop w:val="0"/>
      <w:marBottom w:val="0"/>
      <w:divBdr>
        <w:top w:val="none" w:sz="0" w:space="0" w:color="auto"/>
        <w:left w:val="none" w:sz="0" w:space="0" w:color="auto"/>
        <w:bottom w:val="none" w:sz="0" w:space="0" w:color="auto"/>
        <w:right w:val="none" w:sz="0" w:space="0" w:color="auto"/>
      </w:divBdr>
      <w:divsChild>
        <w:div w:id="412506563">
          <w:marLeft w:val="0"/>
          <w:marRight w:val="0"/>
          <w:marTop w:val="0"/>
          <w:marBottom w:val="0"/>
          <w:divBdr>
            <w:top w:val="none" w:sz="0" w:space="0" w:color="auto"/>
            <w:left w:val="none" w:sz="0" w:space="0" w:color="auto"/>
            <w:bottom w:val="none" w:sz="0" w:space="0" w:color="auto"/>
            <w:right w:val="none" w:sz="0" w:space="0" w:color="auto"/>
          </w:divBdr>
          <w:divsChild>
            <w:div w:id="15540300">
              <w:marLeft w:val="0"/>
              <w:marRight w:val="0"/>
              <w:marTop w:val="0"/>
              <w:marBottom w:val="0"/>
              <w:divBdr>
                <w:top w:val="none" w:sz="0" w:space="0" w:color="auto"/>
                <w:left w:val="none" w:sz="0" w:space="0" w:color="auto"/>
                <w:bottom w:val="none" w:sz="0" w:space="0" w:color="auto"/>
                <w:right w:val="none" w:sz="0" w:space="0" w:color="auto"/>
              </w:divBdr>
              <w:divsChild>
                <w:div w:id="631055065">
                  <w:marLeft w:val="0"/>
                  <w:marRight w:val="0"/>
                  <w:marTop w:val="0"/>
                  <w:marBottom w:val="0"/>
                  <w:divBdr>
                    <w:top w:val="none" w:sz="0" w:space="0" w:color="auto"/>
                    <w:left w:val="none" w:sz="0" w:space="0" w:color="auto"/>
                    <w:bottom w:val="none" w:sz="0" w:space="0" w:color="auto"/>
                    <w:right w:val="none" w:sz="0" w:space="0" w:color="auto"/>
                  </w:divBdr>
                  <w:divsChild>
                    <w:div w:id="3829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3383">
          <w:marLeft w:val="0"/>
          <w:marRight w:val="0"/>
          <w:marTop w:val="0"/>
          <w:marBottom w:val="240"/>
          <w:divBdr>
            <w:top w:val="none" w:sz="0" w:space="0" w:color="auto"/>
            <w:left w:val="none" w:sz="0" w:space="0" w:color="auto"/>
            <w:bottom w:val="none" w:sz="0" w:space="0" w:color="auto"/>
            <w:right w:val="none" w:sz="0" w:space="0" w:color="auto"/>
          </w:divBdr>
          <w:divsChild>
            <w:div w:id="705832445">
              <w:marLeft w:val="0"/>
              <w:marRight w:val="0"/>
              <w:marTop w:val="0"/>
              <w:marBottom w:val="0"/>
              <w:divBdr>
                <w:top w:val="none" w:sz="0" w:space="0" w:color="auto"/>
                <w:left w:val="none" w:sz="0" w:space="0" w:color="auto"/>
                <w:bottom w:val="none" w:sz="0" w:space="0" w:color="auto"/>
                <w:right w:val="none" w:sz="0" w:space="0" w:color="auto"/>
              </w:divBdr>
            </w:div>
            <w:div w:id="2047562644">
              <w:marLeft w:val="0"/>
              <w:marRight w:val="0"/>
              <w:marTop w:val="240"/>
              <w:marBottom w:val="240"/>
              <w:divBdr>
                <w:top w:val="single" w:sz="6" w:space="9" w:color="E0E0E0"/>
                <w:left w:val="single" w:sz="6" w:space="12" w:color="E0E0E0"/>
                <w:bottom w:val="single" w:sz="6" w:space="9" w:color="E0E0E0"/>
                <w:right w:val="single" w:sz="6" w:space="12" w:color="E0E0E0"/>
              </w:divBdr>
              <w:divsChild>
                <w:div w:id="724530965">
                  <w:marLeft w:val="0"/>
                  <w:marRight w:val="0"/>
                  <w:marTop w:val="0"/>
                  <w:marBottom w:val="0"/>
                  <w:divBdr>
                    <w:top w:val="none" w:sz="0" w:space="0" w:color="auto"/>
                    <w:left w:val="none" w:sz="0" w:space="0" w:color="auto"/>
                    <w:bottom w:val="none" w:sz="0" w:space="0" w:color="auto"/>
                    <w:right w:val="none" w:sz="0" w:space="0" w:color="auto"/>
                  </w:divBdr>
                </w:div>
              </w:divsChild>
            </w:div>
            <w:div w:id="242372441">
              <w:marLeft w:val="0"/>
              <w:marRight w:val="0"/>
              <w:marTop w:val="0"/>
              <w:marBottom w:val="0"/>
              <w:divBdr>
                <w:top w:val="none" w:sz="0" w:space="0" w:color="auto"/>
                <w:left w:val="none" w:sz="0" w:space="0" w:color="auto"/>
                <w:bottom w:val="none" w:sz="0" w:space="0" w:color="auto"/>
                <w:right w:val="none" w:sz="0" w:space="0" w:color="auto"/>
              </w:divBdr>
              <w:divsChild>
                <w:div w:id="20539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thong-tu-09-2024-tt-bldtbxh-so-luong-nguoi-lam-viec-trong-don-vi-su-nghiep-cong-lap-linh-vuc-lao-dong-366310-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dat-dai/thong-tu-08-2024-tt-bxd-cua-bo-xay-dung-quy-dinh-danh-so-va-gan-bien-so-nha-cong-trinh-xay-dung-365122-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hinh-sach/nghi-dinh-110-2024-nd-cp-cua-chinh-phu-ve-cong-tac-xa-hoi-365239-d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dat-dai/nghi-dinh-108-2024-nd-cp-quan-ly-nha-dat-la-tai-san-cong-khong-su-dung-vao-muc-dich-de-o-364390-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2B957-1DDB-4108-BF09-6354E4EB6A37}"/>
</file>

<file path=customXml/itemProps2.xml><?xml version="1.0" encoding="utf-8"?>
<ds:datastoreItem xmlns:ds="http://schemas.openxmlformats.org/officeDocument/2006/customXml" ds:itemID="{44D88AD0-F649-44F4-A687-801AFE16A8DC}"/>
</file>

<file path=customXml/itemProps3.xml><?xml version="1.0" encoding="utf-8"?>
<ds:datastoreItem xmlns:ds="http://schemas.openxmlformats.org/officeDocument/2006/customXml" ds:itemID="{52D07EC8-1BE9-4B28-87BF-411BA19EBD35}"/>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2024-10-16T01:22:00Z</dcterms:created>
  <dcterms:modified xsi:type="dcterms:W3CDTF">2024-10-16T01:27:00Z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